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Access to digital content requires at minimum 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600" w:firstLine="0"/>
        <w:contextualSpacing w:val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providing descriptive metadata.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600" w:firstLine="0"/>
        <w:contextualSpacing w:val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rranging files at an item level.</w:t>
      </w:r>
    </w:p>
    <w:p w:rsidR="00000000" w:rsidDel="00000000" w:rsidP="00000000" w:rsidRDefault="00000000" w:rsidRPr="00000000">
      <w:pPr>
        <w:pBdr/>
        <w:ind w:left="600" w:firstLine="0"/>
        <w:contextualSpacing w:val="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developing specialized interfaces for multiple file formats.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600" w:firstLine="0"/>
        <w:contextualSpacing w:val="0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0"/>
        </w:rPr>
        <w:t xml:space="preserve">aking all digital objects open to the public.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Arranging and Describing Photographs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What would be the most likely way to describe a group of photographs?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number of images in tons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subject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Format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What descriptive content standard would be the best fit for the following scenario?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DCRMG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What is the strength of the content standard DCRMG?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What is the strength of the content standard DACS?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